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E8606" w14:textId="77777777" w:rsidR="002B3BF6" w:rsidRPr="00866671" w:rsidRDefault="002B3BF6">
      <w:pPr>
        <w:spacing w:after="0"/>
        <w:ind w:left="-1440" w:right="10469"/>
        <w:rPr>
          <w:rFonts w:ascii="Book Antiqua" w:hAnsi="Book Antiqua"/>
        </w:rPr>
      </w:pPr>
    </w:p>
    <w:tbl>
      <w:tblPr>
        <w:tblStyle w:val="TableGrid"/>
        <w:tblW w:w="10919" w:type="dxa"/>
        <w:tblInd w:w="-944" w:type="dxa"/>
        <w:tblCellMar>
          <w:left w:w="349" w:type="dxa"/>
        </w:tblCellMar>
        <w:tblLook w:val="04A0" w:firstRow="1" w:lastRow="0" w:firstColumn="1" w:lastColumn="0" w:noHBand="0" w:noVBand="1"/>
      </w:tblPr>
      <w:tblGrid>
        <w:gridCol w:w="10919"/>
      </w:tblGrid>
      <w:tr w:rsidR="002B3BF6" w:rsidRPr="00866671" w14:paraId="18FEEC42" w14:textId="77777777" w:rsidTr="0077004F">
        <w:trPr>
          <w:trHeight w:val="3348"/>
        </w:trPr>
        <w:tc>
          <w:tcPr>
            <w:tcW w:w="10919" w:type="dxa"/>
            <w:tcBorders>
              <w:top w:val="single" w:sz="4" w:space="0" w:color="000000"/>
              <w:left w:val="single" w:sz="4" w:space="0" w:color="000000"/>
              <w:bottom w:val="nil"/>
              <w:right w:val="single" w:sz="4" w:space="0" w:color="000000"/>
            </w:tcBorders>
            <w:vAlign w:val="bottom"/>
          </w:tcPr>
          <w:p w14:paraId="0EB886AC" w14:textId="77777777" w:rsidR="002B3BF6" w:rsidRPr="00866671" w:rsidRDefault="00000000">
            <w:pPr>
              <w:ind w:left="715"/>
              <w:rPr>
                <w:rFonts w:ascii="Book Antiqua" w:hAnsi="Book Antiqua"/>
              </w:rPr>
            </w:pPr>
            <w:r w:rsidRPr="00866671">
              <w:rPr>
                <w:rFonts w:ascii="Book Antiqua" w:eastAsia="Verdana" w:hAnsi="Book Antiqua" w:cs="Verdana"/>
              </w:rPr>
              <w:t xml:space="preserve"> </w:t>
            </w:r>
          </w:p>
          <w:p w14:paraId="58133CF0" w14:textId="77777777" w:rsidR="002B3BF6" w:rsidRPr="00866671" w:rsidRDefault="00000000">
            <w:pPr>
              <w:ind w:right="133"/>
              <w:jc w:val="center"/>
              <w:rPr>
                <w:rFonts w:ascii="Book Antiqua" w:hAnsi="Book Antiqua"/>
              </w:rPr>
            </w:pPr>
            <w:r w:rsidRPr="00866671">
              <w:rPr>
                <w:rFonts w:ascii="Book Antiqua" w:hAnsi="Book Antiqua"/>
                <w:noProof/>
              </w:rPr>
              <w:drawing>
                <wp:inline distT="0" distB="0" distL="0" distR="0" wp14:anchorId="4ADA4AAD" wp14:editId="336F9A87">
                  <wp:extent cx="2438400" cy="990600"/>
                  <wp:effectExtent l="0" t="0" r="0" b="0"/>
                  <wp:docPr id="60" name="Picture 60"/>
                  <wp:cNvGraphicFramePr/>
                  <a:graphic xmlns:a="http://schemas.openxmlformats.org/drawingml/2006/main">
                    <a:graphicData uri="http://schemas.openxmlformats.org/drawingml/2006/picture">
                      <pic:pic xmlns:pic="http://schemas.openxmlformats.org/drawingml/2006/picture">
                        <pic:nvPicPr>
                          <pic:cNvPr id="60" name="Picture 60"/>
                          <pic:cNvPicPr/>
                        </pic:nvPicPr>
                        <pic:blipFill>
                          <a:blip r:embed="rId5"/>
                          <a:stretch>
                            <a:fillRect/>
                          </a:stretch>
                        </pic:blipFill>
                        <pic:spPr>
                          <a:xfrm>
                            <a:off x="0" y="0"/>
                            <a:ext cx="2438400" cy="990600"/>
                          </a:xfrm>
                          <a:prstGeom prst="rect">
                            <a:avLst/>
                          </a:prstGeom>
                        </pic:spPr>
                      </pic:pic>
                    </a:graphicData>
                  </a:graphic>
                </wp:inline>
              </w:drawing>
            </w:r>
            <w:r w:rsidRPr="00866671">
              <w:rPr>
                <w:rFonts w:ascii="Book Antiqua" w:eastAsia="Verdana" w:hAnsi="Book Antiqua" w:cs="Verdana"/>
                <w:b/>
              </w:rPr>
              <w:t xml:space="preserve"> </w:t>
            </w:r>
          </w:p>
          <w:p w14:paraId="7515B5D3" w14:textId="77777777" w:rsidR="002B3BF6" w:rsidRPr="00866671" w:rsidRDefault="00000000">
            <w:pPr>
              <w:ind w:right="133"/>
              <w:jc w:val="center"/>
              <w:rPr>
                <w:rFonts w:ascii="Book Antiqua" w:hAnsi="Book Antiqua"/>
              </w:rPr>
            </w:pPr>
            <w:r w:rsidRPr="00866671">
              <w:rPr>
                <w:rFonts w:ascii="Book Antiqua" w:eastAsia="Verdana" w:hAnsi="Book Antiqua" w:cs="Verdana"/>
                <w:b/>
              </w:rPr>
              <w:t xml:space="preserve"> </w:t>
            </w:r>
          </w:p>
          <w:p w14:paraId="5CED5C68" w14:textId="77777777" w:rsidR="002B3BF6" w:rsidRPr="00866671" w:rsidRDefault="00000000">
            <w:pPr>
              <w:ind w:right="133"/>
              <w:jc w:val="center"/>
              <w:rPr>
                <w:rFonts w:ascii="Book Antiqua" w:hAnsi="Book Antiqua"/>
              </w:rPr>
            </w:pPr>
            <w:r w:rsidRPr="00866671">
              <w:rPr>
                <w:rFonts w:ascii="Book Antiqua" w:eastAsia="Verdana" w:hAnsi="Book Antiqua" w:cs="Verdana"/>
                <w:b/>
              </w:rPr>
              <w:t xml:space="preserve"> </w:t>
            </w:r>
          </w:p>
        </w:tc>
      </w:tr>
      <w:tr w:rsidR="002B3BF6" w:rsidRPr="00866671" w14:paraId="42F64AB8" w14:textId="77777777" w:rsidTr="0077004F">
        <w:trPr>
          <w:trHeight w:val="882"/>
        </w:trPr>
        <w:tc>
          <w:tcPr>
            <w:tcW w:w="10919" w:type="dxa"/>
            <w:tcBorders>
              <w:top w:val="nil"/>
              <w:left w:val="single" w:sz="4" w:space="0" w:color="000000"/>
              <w:bottom w:val="nil"/>
              <w:right w:val="single" w:sz="4" w:space="0" w:color="000000"/>
            </w:tcBorders>
            <w:shd w:val="clear" w:color="auto" w:fill="4F81BD"/>
          </w:tcPr>
          <w:p w14:paraId="06BA57BA" w14:textId="77777777" w:rsidR="002B3BF6" w:rsidRPr="00866671" w:rsidRDefault="00000000">
            <w:pPr>
              <w:spacing w:after="187"/>
              <w:ind w:right="133"/>
              <w:jc w:val="center"/>
              <w:rPr>
                <w:rFonts w:ascii="Book Antiqua" w:hAnsi="Book Antiqua"/>
              </w:rPr>
            </w:pPr>
            <w:r w:rsidRPr="00866671">
              <w:rPr>
                <w:rFonts w:ascii="Book Antiqua" w:eastAsia="Verdana" w:hAnsi="Book Antiqua" w:cs="Verdana"/>
                <w:b/>
              </w:rPr>
              <w:t xml:space="preserve"> </w:t>
            </w:r>
          </w:p>
          <w:p w14:paraId="35C43371" w14:textId="77777777" w:rsidR="002B3BF6" w:rsidRPr="003A6777" w:rsidRDefault="00000000">
            <w:pPr>
              <w:tabs>
                <w:tab w:val="center" w:pos="5107"/>
                <w:tab w:val="center" w:pos="10332"/>
              </w:tabs>
              <w:rPr>
                <w:rFonts w:ascii="Book Antiqua" w:hAnsi="Book Antiqua"/>
                <w:b/>
                <w:bCs/>
              </w:rPr>
            </w:pPr>
            <w:r w:rsidRPr="00866671">
              <w:rPr>
                <w:rFonts w:ascii="Book Antiqua" w:hAnsi="Book Antiqua"/>
              </w:rPr>
              <w:tab/>
            </w:r>
            <w:r w:rsidRPr="003A6777">
              <w:rPr>
                <w:rFonts w:ascii="Book Antiqua" w:eastAsia="Cambria" w:hAnsi="Book Antiqua" w:cs="Cambria"/>
                <w:b/>
                <w:bCs/>
                <w:color w:val="FFFFFF"/>
              </w:rPr>
              <w:t xml:space="preserve">India International Bullion Exchange IFSC Ltd. </w:t>
            </w:r>
            <w:r w:rsidRPr="003A6777">
              <w:rPr>
                <w:rFonts w:ascii="Book Antiqua" w:eastAsia="Verdana" w:hAnsi="Book Antiqua" w:cs="Verdana"/>
                <w:b/>
                <w:bCs/>
                <w:vertAlign w:val="superscript"/>
              </w:rPr>
              <w:t xml:space="preserve"> </w:t>
            </w:r>
            <w:r w:rsidRPr="003A6777">
              <w:rPr>
                <w:rFonts w:ascii="Book Antiqua" w:eastAsia="Verdana" w:hAnsi="Book Antiqua" w:cs="Verdana"/>
                <w:b/>
                <w:bCs/>
                <w:vertAlign w:val="subscript"/>
              </w:rPr>
              <w:t xml:space="preserve"> </w:t>
            </w:r>
            <w:r w:rsidRPr="003A6777">
              <w:rPr>
                <w:rFonts w:ascii="Book Antiqua" w:eastAsia="Verdana" w:hAnsi="Book Antiqua" w:cs="Verdana"/>
                <w:b/>
                <w:bCs/>
                <w:vertAlign w:val="subscript"/>
              </w:rPr>
              <w:tab/>
            </w:r>
            <w:r w:rsidRPr="003A6777">
              <w:rPr>
                <w:rFonts w:ascii="Book Antiqua" w:eastAsia="Cambria" w:hAnsi="Book Antiqua" w:cs="Cambria"/>
                <w:b/>
                <w:bCs/>
                <w:color w:val="FFFFFF"/>
              </w:rPr>
              <w:t xml:space="preserve"> </w:t>
            </w:r>
          </w:p>
        </w:tc>
      </w:tr>
      <w:tr w:rsidR="002B3BF6" w:rsidRPr="00866671" w14:paraId="18561070" w14:textId="77777777" w:rsidTr="0077004F">
        <w:trPr>
          <w:trHeight w:val="313"/>
        </w:trPr>
        <w:tc>
          <w:tcPr>
            <w:tcW w:w="10919" w:type="dxa"/>
            <w:tcBorders>
              <w:top w:val="nil"/>
              <w:left w:val="single" w:sz="4" w:space="0" w:color="000000"/>
              <w:bottom w:val="nil"/>
              <w:right w:val="single" w:sz="4" w:space="0" w:color="000000"/>
            </w:tcBorders>
          </w:tcPr>
          <w:p w14:paraId="7D9D586C" w14:textId="77777777" w:rsidR="002B3BF6" w:rsidRPr="00866671" w:rsidRDefault="00000000">
            <w:pPr>
              <w:ind w:right="-563"/>
              <w:jc w:val="right"/>
              <w:rPr>
                <w:rFonts w:ascii="Book Antiqua" w:hAnsi="Book Antiqua"/>
              </w:rPr>
            </w:pPr>
            <w:r w:rsidRPr="00866671">
              <w:rPr>
                <w:rFonts w:ascii="Book Antiqua" w:eastAsia="Verdana" w:hAnsi="Book Antiqua" w:cs="Verdana"/>
                <w:b/>
              </w:rPr>
              <w:t xml:space="preserve">                                                                               </w:t>
            </w:r>
          </w:p>
        </w:tc>
      </w:tr>
      <w:tr w:rsidR="002B3BF6" w:rsidRPr="00866671" w14:paraId="6CD3E069" w14:textId="77777777" w:rsidTr="003A6777">
        <w:trPr>
          <w:trHeight w:val="8897"/>
        </w:trPr>
        <w:tc>
          <w:tcPr>
            <w:tcW w:w="10919" w:type="dxa"/>
            <w:tcBorders>
              <w:top w:val="nil"/>
              <w:left w:val="single" w:sz="4" w:space="0" w:color="000000"/>
              <w:bottom w:val="nil"/>
              <w:right w:val="single" w:sz="4" w:space="0" w:color="000000"/>
            </w:tcBorders>
            <w:shd w:val="clear" w:color="auto" w:fill="4F81BD"/>
          </w:tcPr>
          <w:p w14:paraId="38C14D10" w14:textId="77777777" w:rsidR="002B3BF6" w:rsidRPr="00866671" w:rsidRDefault="00000000">
            <w:pPr>
              <w:ind w:right="-114"/>
              <w:jc w:val="right"/>
              <w:rPr>
                <w:rFonts w:ascii="Book Antiqua" w:hAnsi="Book Antiqua"/>
              </w:rPr>
            </w:pPr>
            <w:r w:rsidRPr="00866671">
              <w:rPr>
                <w:rFonts w:ascii="Book Antiqua" w:eastAsia="Verdana" w:hAnsi="Book Antiqua" w:cs="Verdana"/>
                <w:b/>
              </w:rPr>
              <w:t xml:space="preserve">                                                                         </w:t>
            </w:r>
          </w:p>
          <w:p w14:paraId="6AB63760" w14:textId="77777777" w:rsidR="002B3BF6" w:rsidRPr="003A6777" w:rsidRDefault="00000000">
            <w:pPr>
              <w:ind w:right="133"/>
              <w:jc w:val="center"/>
              <w:rPr>
                <w:rFonts w:ascii="Book Antiqua" w:hAnsi="Book Antiqua"/>
                <w:b/>
                <w:bCs/>
              </w:rPr>
            </w:pPr>
            <w:r w:rsidRPr="003A6777">
              <w:rPr>
                <w:rFonts w:ascii="Book Antiqua" w:eastAsia="Verdana" w:hAnsi="Book Antiqua" w:cs="Verdana"/>
                <w:b/>
                <w:bCs/>
              </w:rPr>
              <w:t xml:space="preserve"> </w:t>
            </w:r>
          </w:p>
          <w:p w14:paraId="6B775289" w14:textId="77777777" w:rsidR="002B3BF6" w:rsidRPr="003A6777" w:rsidRDefault="00000000">
            <w:pPr>
              <w:ind w:right="133"/>
              <w:jc w:val="center"/>
              <w:rPr>
                <w:rFonts w:ascii="Book Antiqua" w:hAnsi="Book Antiqua"/>
                <w:b/>
                <w:bCs/>
              </w:rPr>
            </w:pPr>
            <w:r w:rsidRPr="003A6777">
              <w:rPr>
                <w:rFonts w:ascii="Book Antiqua" w:eastAsia="Verdana" w:hAnsi="Book Antiqua" w:cs="Verdana"/>
                <w:b/>
                <w:bCs/>
              </w:rPr>
              <w:t xml:space="preserve"> </w:t>
            </w:r>
          </w:p>
          <w:p w14:paraId="5BA64ADA" w14:textId="77777777" w:rsidR="002B3BF6" w:rsidRPr="003A6777" w:rsidRDefault="00000000">
            <w:pPr>
              <w:ind w:right="357"/>
              <w:jc w:val="center"/>
              <w:rPr>
                <w:rFonts w:ascii="Book Antiqua" w:hAnsi="Book Antiqua"/>
                <w:b/>
                <w:bCs/>
              </w:rPr>
            </w:pPr>
            <w:r w:rsidRPr="003A6777">
              <w:rPr>
                <w:rFonts w:ascii="Book Antiqua" w:eastAsia="Cambria" w:hAnsi="Book Antiqua" w:cs="Cambria"/>
                <w:b/>
                <w:bCs/>
                <w:color w:val="FFFFFF"/>
              </w:rPr>
              <w:t xml:space="preserve">CODE OF CONDUCT </w:t>
            </w:r>
            <w:r w:rsidRPr="003A6777">
              <w:rPr>
                <w:rFonts w:ascii="Book Antiqua" w:eastAsia="Verdana" w:hAnsi="Book Antiqua" w:cs="Verdana"/>
                <w:b/>
                <w:bCs/>
              </w:rPr>
              <w:t xml:space="preserve"> </w:t>
            </w:r>
          </w:p>
          <w:p w14:paraId="15927B6B" w14:textId="77777777" w:rsidR="002B3BF6" w:rsidRPr="003A6777" w:rsidRDefault="00000000">
            <w:pPr>
              <w:spacing w:after="63"/>
              <w:ind w:right="-563"/>
              <w:jc w:val="right"/>
              <w:rPr>
                <w:rFonts w:ascii="Book Antiqua" w:hAnsi="Book Antiqua"/>
                <w:b/>
                <w:bCs/>
              </w:rPr>
            </w:pPr>
            <w:r w:rsidRPr="003A6777">
              <w:rPr>
                <w:rFonts w:ascii="Book Antiqua" w:eastAsia="Verdana" w:hAnsi="Book Antiqua" w:cs="Verdana"/>
                <w:b/>
                <w:bCs/>
              </w:rPr>
              <w:t xml:space="preserve">                                                                               </w:t>
            </w:r>
          </w:p>
          <w:p w14:paraId="2F9572C4" w14:textId="5BCFCBA3" w:rsidR="002B3BF6" w:rsidRPr="00866671" w:rsidRDefault="00000000">
            <w:pPr>
              <w:tabs>
                <w:tab w:val="center" w:pos="5095"/>
                <w:tab w:val="center" w:pos="9766"/>
              </w:tabs>
              <w:rPr>
                <w:rFonts w:ascii="Book Antiqua" w:hAnsi="Book Antiqua"/>
              </w:rPr>
            </w:pPr>
            <w:r w:rsidRPr="003A6777">
              <w:rPr>
                <w:rFonts w:ascii="Book Antiqua" w:hAnsi="Book Antiqua"/>
                <w:b/>
                <w:bCs/>
              </w:rPr>
              <w:tab/>
            </w:r>
            <w:r w:rsidRPr="003A6777">
              <w:rPr>
                <w:rFonts w:ascii="Book Antiqua" w:eastAsia="Cambria" w:hAnsi="Book Antiqua" w:cs="Cambria"/>
                <w:b/>
                <w:bCs/>
                <w:color w:val="FFFFFF"/>
              </w:rPr>
              <w:t xml:space="preserve">FOR </w:t>
            </w:r>
            <w:r w:rsidR="00541C0F" w:rsidRPr="003A6777">
              <w:rPr>
                <w:rFonts w:ascii="Book Antiqua" w:eastAsia="Cambria" w:hAnsi="Book Antiqua" w:cs="Cambria"/>
                <w:b/>
                <w:bCs/>
                <w:color w:val="FFFFFF"/>
              </w:rPr>
              <w:t>BULLION</w:t>
            </w:r>
            <w:r w:rsidRPr="003A6777">
              <w:rPr>
                <w:rFonts w:ascii="Book Antiqua" w:eastAsia="Cambria" w:hAnsi="Book Antiqua" w:cs="Cambria"/>
                <w:b/>
                <w:bCs/>
                <w:color w:val="FFFFFF"/>
              </w:rPr>
              <w:t xml:space="preserve"> MARKET INTERMEDIARIES</w:t>
            </w:r>
            <w:r w:rsidRPr="00866671">
              <w:rPr>
                <w:rFonts w:ascii="Book Antiqua" w:eastAsia="Verdana" w:hAnsi="Book Antiqua" w:cs="Verdana"/>
                <w:b/>
                <w:vertAlign w:val="superscript"/>
              </w:rPr>
              <w:t xml:space="preserve"> </w:t>
            </w:r>
            <w:r w:rsidRPr="00866671">
              <w:rPr>
                <w:rFonts w:ascii="Book Antiqua" w:eastAsia="Verdana" w:hAnsi="Book Antiqua" w:cs="Verdana"/>
                <w:b/>
                <w:vertAlign w:val="superscript"/>
              </w:rPr>
              <w:tab/>
            </w:r>
            <w:r w:rsidRPr="00866671">
              <w:rPr>
                <w:rFonts w:ascii="Book Antiqua" w:eastAsia="Cambria" w:hAnsi="Book Antiqua" w:cs="Cambria"/>
                <w:color w:val="FFFFFF"/>
              </w:rPr>
              <w:t xml:space="preserve"> </w:t>
            </w:r>
          </w:p>
          <w:p w14:paraId="13609A34" w14:textId="77777777" w:rsidR="002B3BF6" w:rsidRPr="00866671" w:rsidRDefault="00000000">
            <w:pPr>
              <w:ind w:right="133"/>
              <w:jc w:val="center"/>
              <w:rPr>
                <w:rFonts w:ascii="Book Antiqua" w:hAnsi="Book Antiqua"/>
              </w:rPr>
            </w:pPr>
            <w:r w:rsidRPr="00866671">
              <w:rPr>
                <w:rFonts w:ascii="Book Antiqua" w:eastAsia="Verdana" w:hAnsi="Book Antiqua" w:cs="Verdana"/>
                <w:b/>
              </w:rPr>
              <w:t xml:space="preserve"> </w:t>
            </w:r>
          </w:p>
          <w:p w14:paraId="7C087DED" w14:textId="77777777" w:rsidR="002B3BF6" w:rsidRPr="00866671" w:rsidRDefault="00000000">
            <w:pPr>
              <w:ind w:right="133"/>
              <w:jc w:val="center"/>
              <w:rPr>
                <w:rFonts w:ascii="Book Antiqua" w:hAnsi="Book Antiqua"/>
              </w:rPr>
            </w:pPr>
            <w:r w:rsidRPr="00866671">
              <w:rPr>
                <w:rFonts w:ascii="Book Antiqua" w:eastAsia="Verdana" w:hAnsi="Book Antiqua" w:cs="Verdana"/>
                <w:b/>
              </w:rPr>
              <w:t xml:space="preserve"> </w:t>
            </w:r>
          </w:p>
        </w:tc>
      </w:tr>
    </w:tbl>
    <w:p w14:paraId="594C47F1" w14:textId="77777777" w:rsidR="002B3BF6" w:rsidRPr="00866671" w:rsidRDefault="002B3BF6">
      <w:pPr>
        <w:spacing w:after="0"/>
        <w:ind w:left="-1440" w:right="10469"/>
        <w:rPr>
          <w:rFonts w:ascii="Book Antiqua" w:hAnsi="Book Antiqua"/>
        </w:rPr>
      </w:pPr>
    </w:p>
    <w:tbl>
      <w:tblPr>
        <w:tblStyle w:val="TableGrid"/>
        <w:tblW w:w="11015" w:type="dxa"/>
        <w:tblInd w:w="-955" w:type="dxa"/>
        <w:tblCellMar>
          <w:left w:w="1074" w:type="dxa"/>
          <w:right w:w="9" w:type="dxa"/>
        </w:tblCellMar>
        <w:tblLook w:val="04A0" w:firstRow="1" w:lastRow="0" w:firstColumn="1" w:lastColumn="0" w:noHBand="0" w:noVBand="1"/>
      </w:tblPr>
      <w:tblGrid>
        <w:gridCol w:w="11015"/>
      </w:tblGrid>
      <w:tr w:rsidR="002B3BF6" w:rsidRPr="00866671" w14:paraId="07D76C7F" w14:textId="77777777" w:rsidTr="00995BE3">
        <w:trPr>
          <w:trHeight w:val="14589"/>
        </w:trPr>
        <w:tc>
          <w:tcPr>
            <w:tcW w:w="11015" w:type="dxa"/>
            <w:tcBorders>
              <w:top w:val="single" w:sz="4" w:space="0" w:color="000000"/>
              <w:left w:val="single" w:sz="4" w:space="0" w:color="000000"/>
              <w:bottom w:val="single" w:sz="4" w:space="0" w:color="000000"/>
              <w:right w:val="single" w:sz="4" w:space="0" w:color="000000"/>
            </w:tcBorders>
            <w:vAlign w:val="bottom"/>
          </w:tcPr>
          <w:p w14:paraId="79464BA5" w14:textId="77777777" w:rsidR="003A6777" w:rsidRDefault="003A6777" w:rsidP="00866671">
            <w:pPr>
              <w:pStyle w:val="Heading1"/>
              <w:ind w:left="-404" w:right="412"/>
              <w:jc w:val="both"/>
              <w:rPr>
                <w:rFonts w:ascii="Book Antiqua" w:hAnsi="Book Antiqua"/>
                <w:color w:val="000000" w:themeColor="text1"/>
                <w:sz w:val="22"/>
                <w:szCs w:val="22"/>
              </w:rPr>
            </w:pPr>
          </w:p>
          <w:p w14:paraId="3321F056" w14:textId="4EAA6089" w:rsidR="0077004F" w:rsidRPr="003A6777" w:rsidRDefault="0077004F" w:rsidP="00866671">
            <w:pPr>
              <w:pStyle w:val="Heading1"/>
              <w:ind w:left="-404" w:right="412"/>
              <w:jc w:val="both"/>
              <w:rPr>
                <w:rFonts w:ascii="Book Antiqua" w:hAnsi="Book Antiqua"/>
                <w:b/>
                <w:bCs/>
                <w:color w:val="000000" w:themeColor="text1"/>
                <w:sz w:val="22"/>
                <w:szCs w:val="22"/>
              </w:rPr>
            </w:pPr>
            <w:r w:rsidRPr="003A6777">
              <w:rPr>
                <w:rFonts w:ascii="Book Antiqua" w:hAnsi="Book Antiqua"/>
                <w:b/>
                <w:bCs/>
                <w:color w:val="000000" w:themeColor="text1"/>
                <w:sz w:val="22"/>
                <w:szCs w:val="22"/>
              </w:rPr>
              <w:t xml:space="preserve">A bullion market intermediary: </w:t>
            </w:r>
          </w:p>
          <w:p w14:paraId="380DEA03"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1. Shall make all efforts to protect the interest of investors and render the best possible advice to the clients having regard to the needs of the clients, </w:t>
            </w:r>
            <w:proofErr w:type="gramStart"/>
            <w:r w:rsidRPr="00866671">
              <w:rPr>
                <w:rFonts w:ascii="Book Antiqua" w:hAnsi="Book Antiqua"/>
                <w:color w:val="000000" w:themeColor="text1"/>
                <w:sz w:val="22"/>
                <w:szCs w:val="22"/>
              </w:rPr>
              <w:t>environment</w:t>
            </w:r>
            <w:proofErr w:type="gramEnd"/>
            <w:r w:rsidRPr="00866671">
              <w:rPr>
                <w:rFonts w:ascii="Book Antiqua" w:hAnsi="Book Antiqua"/>
                <w:color w:val="000000" w:themeColor="text1"/>
                <w:sz w:val="22"/>
                <w:szCs w:val="22"/>
              </w:rPr>
              <w:t xml:space="preserve"> and its own professional skills. </w:t>
            </w:r>
          </w:p>
          <w:p w14:paraId="08D7359B"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2. Shall in the conduct of its business, observe high standards of integrity and fairness and fulfil its obligations in a prompt, ethical and professional manner. </w:t>
            </w:r>
          </w:p>
          <w:p w14:paraId="43303DD8"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3. Shall </w:t>
            </w:r>
            <w:proofErr w:type="gramStart"/>
            <w:r w:rsidRPr="00866671">
              <w:rPr>
                <w:rFonts w:ascii="Book Antiqua" w:hAnsi="Book Antiqua"/>
                <w:color w:val="000000" w:themeColor="text1"/>
                <w:sz w:val="22"/>
                <w:szCs w:val="22"/>
              </w:rPr>
              <w:t>at all times</w:t>
            </w:r>
            <w:proofErr w:type="gramEnd"/>
            <w:r w:rsidRPr="00866671">
              <w:rPr>
                <w:rFonts w:ascii="Book Antiqua" w:hAnsi="Book Antiqua"/>
                <w:color w:val="000000" w:themeColor="text1"/>
                <w:sz w:val="22"/>
                <w:szCs w:val="22"/>
              </w:rPr>
              <w:t xml:space="preserve"> exercise due diligence, ensure proper care and exercise independent professional judgment.</w:t>
            </w:r>
          </w:p>
          <w:p w14:paraId="2CC16CB3"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4. Shall not indulge in manipulative, </w:t>
            </w:r>
            <w:proofErr w:type="gramStart"/>
            <w:r w:rsidRPr="00866671">
              <w:rPr>
                <w:rFonts w:ascii="Book Antiqua" w:hAnsi="Book Antiqua"/>
                <w:color w:val="000000" w:themeColor="text1"/>
                <w:sz w:val="22"/>
                <w:szCs w:val="22"/>
              </w:rPr>
              <w:t>fraudulent</w:t>
            </w:r>
            <w:proofErr w:type="gramEnd"/>
            <w:r w:rsidRPr="00866671">
              <w:rPr>
                <w:rFonts w:ascii="Book Antiqua" w:hAnsi="Book Antiqua"/>
                <w:color w:val="000000" w:themeColor="text1"/>
                <w:sz w:val="22"/>
                <w:szCs w:val="22"/>
              </w:rPr>
              <w:t xml:space="preserve"> or deceptive transactions or schemes or spread rumours with a view to distorting market equilibrium or making personal gains.</w:t>
            </w:r>
          </w:p>
          <w:p w14:paraId="1373D1B7"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5. Shall not create false market either singly or in collusion with other intermediaries or the issuer in a manner that is detrimental to the interests of investors, or which leads to interference with the fair and smooth functioning of the market.</w:t>
            </w:r>
          </w:p>
          <w:p w14:paraId="5D412648"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6. Shall endeavour to ensure that inquires and grievances of the investors are dealt with in a timely and appropriate manner. </w:t>
            </w:r>
          </w:p>
          <w:p w14:paraId="276678F7"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7. Shall not make any exaggerated statement either oral or in written form to the client about its capability, </w:t>
            </w:r>
            <w:proofErr w:type="gramStart"/>
            <w:r w:rsidRPr="00866671">
              <w:rPr>
                <w:rFonts w:ascii="Book Antiqua" w:hAnsi="Book Antiqua"/>
                <w:color w:val="000000" w:themeColor="text1"/>
                <w:sz w:val="22"/>
                <w:szCs w:val="22"/>
              </w:rPr>
              <w:t>qualification</w:t>
            </w:r>
            <w:proofErr w:type="gramEnd"/>
            <w:r w:rsidRPr="00866671">
              <w:rPr>
                <w:rFonts w:ascii="Book Antiqua" w:hAnsi="Book Antiqua"/>
                <w:color w:val="000000" w:themeColor="text1"/>
                <w:sz w:val="22"/>
                <w:szCs w:val="22"/>
              </w:rPr>
              <w:t xml:space="preserve"> and achievement in regard to services rendered to the client. </w:t>
            </w:r>
          </w:p>
          <w:p w14:paraId="213B6949"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8. Shall maintain confidentiality with respect to the information about its clients, except where such disclosures are required to be made in compliance with any law for the time being in force. </w:t>
            </w:r>
          </w:p>
          <w:p w14:paraId="7F42C8EB"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9. Shall avoid conflict of interest and make adequate disclosure of its possible conflict of interest and duties and shall put in place a mechanism to resolve any conflict-of-interest situation. </w:t>
            </w:r>
          </w:p>
          <w:p w14:paraId="4022D070"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10. Shall not indulge in any unfair competition, which is likely to harm the interests of other bullion market intermediaries and investors. </w:t>
            </w:r>
          </w:p>
          <w:p w14:paraId="12A33647"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11. Shall not discriminate amongst its clients, save and except on ethical and commercial considerations. </w:t>
            </w:r>
          </w:p>
          <w:p w14:paraId="1A65F040"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12. Shall ensure that any change in registration status/any penal action taken by </w:t>
            </w:r>
            <w:proofErr w:type="gramStart"/>
            <w:r w:rsidRPr="00866671">
              <w:rPr>
                <w:rFonts w:ascii="Book Antiqua" w:hAnsi="Book Antiqua"/>
                <w:color w:val="000000" w:themeColor="text1"/>
                <w:sz w:val="22"/>
                <w:szCs w:val="22"/>
              </w:rPr>
              <w:t>Authority</w:t>
            </w:r>
            <w:proofErr w:type="gramEnd"/>
            <w:r w:rsidRPr="00866671">
              <w:rPr>
                <w:rFonts w:ascii="Book Antiqua" w:hAnsi="Book Antiqua"/>
                <w:color w:val="000000" w:themeColor="text1"/>
                <w:sz w:val="22"/>
                <w:szCs w:val="22"/>
              </w:rPr>
              <w:t xml:space="preserve"> or any material change in financials which may adversely affect the interests of clients/investors is promptly informed to the clients.</w:t>
            </w:r>
          </w:p>
          <w:p w14:paraId="53BE9267" w14:textId="77777777" w:rsidR="0077004F" w:rsidRPr="00866671"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 xml:space="preserve">13. Shall inform the Authority promptly about any action initiated against it in respect of material breach or non-compliance of any law, regulations and direction issued by the Authority or any other regulatory body. </w:t>
            </w:r>
          </w:p>
          <w:p w14:paraId="67754782" w14:textId="77777777" w:rsidR="003A6777" w:rsidRDefault="0077004F" w:rsidP="00866671">
            <w:pPr>
              <w:pStyle w:val="Heading1"/>
              <w:ind w:left="-404" w:right="412"/>
              <w:jc w:val="both"/>
              <w:rPr>
                <w:rFonts w:ascii="Book Antiqua" w:hAnsi="Book Antiqua"/>
                <w:color w:val="000000" w:themeColor="text1"/>
                <w:sz w:val="22"/>
                <w:szCs w:val="22"/>
              </w:rPr>
            </w:pPr>
            <w:r w:rsidRPr="00866671">
              <w:rPr>
                <w:rFonts w:ascii="Book Antiqua" w:hAnsi="Book Antiqua"/>
                <w:color w:val="000000" w:themeColor="text1"/>
                <w:sz w:val="22"/>
                <w:szCs w:val="22"/>
              </w:rPr>
              <w:t>14. Shall ensure that it and any of its employees shall not render, directly or indirectly any investment advice about any security in the publicly accessible media, unless a disclosure of its interest in the said security has been made while rendering such advice.</w:t>
            </w:r>
          </w:p>
          <w:p w14:paraId="7E1F0A34" w14:textId="0C3A2EB3" w:rsidR="002B3BF6" w:rsidRPr="003A6777" w:rsidRDefault="003A6777" w:rsidP="003A6777">
            <w:pPr>
              <w:pStyle w:val="Heading1"/>
              <w:ind w:left="-404" w:right="412"/>
              <w:jc w:val="right"/>
              <w:rPr>
                <w:rFonts w:ascii="Book Antiqua" w:hAnsi="Book Antiqua"/>
                <w:color w:val="000000" w:themeColor="text1"/>
                <w:sz w:val="22"/>
                <w:szCs w:val="22"/>
              </w:rPr>
            </w:pPr>
            <w:r w:rsidRPr="00866671">
              <w:rPr>
                <w:rFonts w:ascii="Book Antiqua" w:hAnsi="Book Antiqua"/>
                <w:noProof/>
                <w:color w:val="000000" w:themeColor="text1"/>
                <w:sz w:val="22"/>
                <w:szCs w:val="22"/>
              </w:rPr>
              <w:drawing>
                <wp:inline distT="0" distB="0" distL="0" distR="0" wp14:anchorId="2909D6E6" wp14:editId="7985EBF3">
                  <wp:extent cx="1057275" cy="371475"/>
                  <wp:effectExtent l="0" t="0" r="0" b="0"/>
                  <wp:docPr id="85" name="Picture 85"/>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5"/>
                          <a:stretch>
                            <a:fillRect/>
                          </a:stretch>
                        </pic:blipFill>
                        <pic:spPr>
                          <a:xfrm>
                            <a:off x="0" y="0"/>
                            <a:ext cx="1057275" cy="371475"/>
                          </a:xfrm>
                          <a:prstGeom prst="rect">
                            <a:avLst/>
                          </a:prstGeom>
                        </pic:spPr>
                      </pic:pic>
                    </a:graphicData>
                  </a:graphic>
                </wp:inline>
              </w:drawing>
            </w:r>
          </w:p>
        </w:tc>
      </w:tr>
    </w:tbl>
    <w:tbl>
      <w:tblPr>
        <w:tblStyle w:val="TableGrid"/>
        <w:tblpPr w:leftFromText="180" w:rightFromText="180" w:vertAnchor="text" w:horzAnchor="margin" w:tblpX="-998" w:tblpY="494"/>
        <w:tblW w:w="11052" w:type="dxa"/>
        <w:tblInd w:w="0" w:type="dxa"/>
        <w:tblCellMar>
          <w:left w:w="1075" w:type="dxa"/>
          <w:right w:w="9" w:type="dxa"/>
        </w:tblCellMar>
        <w:tblLook w:val="04A0" w:firstRow="1" w:lastRow="0" w:firstColumn="1" w:lastColumn="0" w:noHBand="0" w:noVBand="1"/>
      </w:tblPr>
      <w:tblGrid>
        <w:gridCol w:w="11052"/>
      </w:tblGrid>
      <w:tr w:rsidR="0077004F" w:rsidRPr="00866671" w14:paraId="432F8AD7" w14:textId="77777777" w:rsidTr="003A6777">
        <w:trPr>
          <w:trHeight w:val="13463"/>
        </w:trPr>
        <w:tc>
          <w:tcPr>
            <w:tcW w:w="11052" w:type="dxa"/>
            <w:tcBorders>
              <w:top w:val="single" w:sz="4" w:space="0" w:color="000000"/>
              <w:left w:val="single" w:sz="4" w:space="0" w:color="000000"/>
              <w:bottom w:val="single" w:sz="4" w:space="0" w:color="000000"/>
              <w:right w:val="single" w:sz="4" w:space="0" w:color="000000"/>
            </w:tcBorders>
            <w:vAlign w:val="bottom"/>
          </w:tcPr>
          <w:p w14:paraId="7978AE74" w14:textId="77777777" w:rsidR="0077004F" w:rsidRPr="00866671" w:rsidRDefault="0077004F" w:rsidP="0077004F">
            <w:pPr>
              <w:ind w:left="-654" w:right="275"/>
              <w:jc w:val="both"/>
              <w:rPr>
                <w:rFonts w:ascii="Book Antiqua" w:hAnsi="Book Antiqua"/>
              </w:rPr>
            </w:pPr>
          </w:p>
          <w:p w14:paraId="354BFAD0" w14:textId="77777777" w:rsidR="003A6777" w:rsidRDefault="003A6777" w:rsidP="00541C0F">
            <w:pPr>
              <w:ind w:left="-687" w:right="270"/>
              <w:jc w:val="both"/>
              <w:rPr>
                <w:rFonts w:ascii="Book Antiqua" w:hAnsi="Book Antiqua"/>
              </w:rPr>
            </w:pPr>
          </w:p>
          <w:p w14:paraId="78482524" w14:textId="77777777" w:rsidR="003A6777" w:rsidRDefault="003A6777" w:rsidP="00541C0F">
            <w:pPr>
              <w:ind w:left="-687" w:right="270"/>
              <w:jc w:val="both"/>
              <w:rPr>
                <w:rFonts w:ascii="Book Antiqua" w:hAnsi="Book Antiqua"/>
              </w:rPr>
            </w:pPr>
          </w:p>
          <w:p w14:paraId="0A7312FF" w14:textId="02C5C367" w:rsidR="00541C0F" w:rsidRPr="003A6777" w:rsidRDefault="00541C0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 xml:space="preserve">15. Shall ensure that it or any of its principal officers, directors, or employees having power of management shall not either on its own account or through their relatives or friends indulge in insider trading. </w:t>
            </w:r>
          </w:p>
          <w:p w14:paraId="7BAC87D1" w14:textId="77777777" w:rsidR="00541C0F" w:rsidRPr="003A6777" w:rsidRDefault="00541C0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16. Shall have and employ effectively appropriate resources and procedures which are needed for the efficient performance of its business activities.</w:t>
            </w:r>
          </w:p>
          <w:p w14:paraId="0DF83E63" w14:textId="77777777"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 xml:space="preserve">17. Shall have internal control procedures and financial and operational capabilities </w:t>
            </w:r>
            <w:proofErr w:type="gramStart"/>
            <w:r w:rsidRPr="003A6777">
              <w:rPr>
                <w:rFonts w:ascii="Book Antiqua" w:hAnsi="Book Antiqua"/>
                <w:color w:val="000000" w:themeColor="text1"/>
                <w:sz w:val="22"/>
                <w:szCs w:val="22"/>
              </w:rPr>
              <w:t>adequate enough</w:t>
            </w:r>
            <w:proofErr w:type="gramEnd"/>
            <w:r w:rsidRPr="003A6777">
              <w:rPr>
                <w:rFonts w:ascii="Book Antiqua" w:hAnsi="Book Antiqua"/>
                <w:color w:val="000000" w:themeColor="text1"/>
                <w:sz w:val="22"/>
                <w:szCs w:val="22"/>
              </w:rPr>
              <w:t xml:space="preserve"> to protect the clients and investors from financial loss arising from theft, fraud, omissions and professional misconduct. </w:t>
            </w:r>
          </w:p>
          <w:p w14:paraId="14E80086" w14:textId="576EB401"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18. Shall develop its own internal code of conduct for governing its internal operations and conduct of its employees.</w:t>
            </w:r>
          </w:p>
          <w:p w14:paraId="2368E288" w14:textId="7B6B9B9F"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19. Shall ensure that the compliance officer / Compliance Officer has adequate freedom and power for effective discharge of his duties.</w:t>
            </w:r>
          </w:p>
          <w:p w14:paraId="09C74AAF" w14:textId="6A3E19BF"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20. Shall ensure that any person it employs or appoints is a fit and proper person and otherwise qualified to act in the capacity so employed or appointed.</w:t>
            </w:r>
          </w:p>
          <w:p w14:paraId="3D88D5CB" w14:textId="77777777"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21. Shall not be a party to or instrumental for:</w:t>
            </w:r>
          </w:p>
          <w:p w14:paraId="457EABC1" w14:textId="77777777"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 xml:space="preserve">(a) creation of false </w:t>
            </w:r>
            <w:proofErr w:type="gramStart"/>
            <w:r w:rsidRPr="003A6777">
              <w:rPr>
                <w:rFonts w:ascii="Book Antiqua" w:hAnsi="Book Antiqua"/>
                <w:color w:val="000000" w:themeColor="text1"/>
                <w:sz w:val="22"/>
                <w:szCs w:val="22"/>
              </w:rPr>
              <w:t>market;</w:t>
            </w:r>
            <w:proofErr w:type="gramEnd"/>
          </w:p>
          <w:p w14:paraId="278FF13E" w14:textId="77777777"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 xml:space="preserve">(b) price rigging or </w:t>
            </w:r>
            <w:proofErr w:type="gramStart"/>
            <w:r w:rsidRPr="003A6777">
              <w:rPr>
                <w:rFonts w:ascii="Book Antiqua" w:hAnsi="Book Antiqua"/>
                <w:color w:val="000000" w:themeColor="text1"/>
                <w:sz w:val="22"/>
                <w:szCs w:val="22"/>
              </w:rPr>
              <w:t>manipulation;</w:t>
            </w:r>
            <w:proofErr w:type="gramEnd"/>
          </w:p>
          <w:p w14:paraId="5826A11A" w14:textId="6B6E9F4F"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(c) passing of unpublished price sensitive information to any other intermediary or any person, in respect of any securities which are listed and proposed to be listed in any stock exchange.</w:t>
            </w:r>
          </w:p>
          <w:p w14:paraId="5CFF4A85" w14:textId="77777777"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22. The senior management of a bullion market intermediary shall bear primary responsibility for ensuring the maintenance of appropriate standards of conduct and adherence to proper procedures by the intermediary.</w:t>
            </w:r>
          </w:p>
          <w:p w14:paraId="48DAB59F" w14:textId="77777777"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23. Shall not make untrue statement or suppress any material fact in any documents, reports or information furnished to the Authority.</w:t>
            </w:r>
          </w:p>
          <w:p w14:paraId="09765E6B" w14:textId="77777777"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24. Shall not make a recommendation to any client or investor who may be expected to rely thereon to acquire, dispose of or retain any securities unless he has reasonable grounds to believe that the recommendation is suitable.</w:t>
            </w:r>
          </w:p>
          <w:p w14:paraId="1D10F78E" w14:textId="77777777" w:rsidR="0077004F" w:rsidRPr="003A6777"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25. Shall abide by all the provisions of the Act and the rules, regulations issued by the IFSCA, IIBX or any other regulatory authority having jurisdiction over IIBX from time to time, as may be applicable.</w:t>
            </w:r>
          </w:p>
          <w:p w14:paraId="2EF5BD68" w14:textId="77777777" w:rsidR="0077004F" w:rsidRDefault="0077004F" w:rsidP="003A6777">
            <w:pPr>
              <w:pStyle w:val="Heading1"/>
              <w:ind w:left="-371" w:right="424"/>
              <w:jc w:val="both"/>
              <w:rPr>
                <w:rFonts w:ascii="Book Antiqua" w:hAnsi="Book Antiqua"/>
                <w:color w:val="000000" w:themeColor="text1"/>
                <w:sz w:val="22"/>
                <w:szCs w:val="22"/>
              </w:rPr>
            </w:pPr>
            <w:r w:rsidRPr="003A6777">
              <w:rPr>
                <w:rFonts w:ascii="Book Antiqua" w:hAnsi="Book Antiqua"/>
                <w:color w:val="000000" w:themeColor="text1"/>
                <w:sz w:val="22"/>
                <w:szCs w:val="22"/>
              </w:rPr>
              <w:t>26. Shall not involve itself in excessive speculative business in the market beyond reasonable levels not commensurate with its financial soundness.</w:t>
            </w:r>
          </w:p>
          <w:p w14:paraId="1FD6544B" w14:textId="77777777" w:rsidR="003A6777" w:rsidRDefault="003A6777" w:rsidP="003A6777"/>
          <w:p w14:paraId="674554B2" w14:textId="1AFFB4F3" w:rsidR="003A6777" w:rsidRPr="003A6777" w:rsidRDefault="003A6777" w:rsidP="003A6777">
            <w:pPr>
              <w:jc w:val="right"/>
            </w:pPr>
            <w:r w:rsidRPr="003A6777">
              <w:rPr>
                <w:rFonts w:ascii="Book Antiqua" w:hAnsi="Book Antiqua"/>
                <w:noProof/>
                <w:color w:val="000000" w:themeColor="text1"/>
              </w:rPr>
              <w:drawing>
                <wp:inline distT="0" distB="0" distL="0" distR="0" wp14:anchorId="5ECDA006" wp14:editId="1180E68A">
                  <wp:extent cx="1057275" cy="371475"/>
                  <wp:effectExtent l="0" t="0" r="0" b="0"/>
                  <wp:docPr id="578697482" name="Picture 578697482"/>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5"/>
                          <a:stretch>
                            <a:fillRect/>
                          </a:stretch>
                        </pic:blipFill>
                        <pic:spPr>
                          <a:xfrm>
                            <a:off x="0" y="0"/>
                            <a:ext cx="1057275" cy="371475"/>
                          </a:xfrm>
                          <a:prstGeom prst="rect">
                            <a:avLst/>
                          </a:prstGeom>
                        </pic:spPr>
                      </pic:pic>
                    </a:graphicData>
                  </a:graphic>
                </wp:inline>
              </w:drawing>
            </w:r>
          </w:p>
          <w:p w14:paraId="15A385FB" w14:textId="77777777" w:rsidR="003A6777" w:rsidRDefault="003A6777" w:rsidP="003A6777">
            <w:pPr>
              <w:ind w:left="-371" w:right="424"/>
              <w:jc w:val="both"/>
            </w:pPr>
          </w:p>
          <w:p w14:paraId="4CACF7E0" w14:textId="77777777" w:rsidR="003A6777" w:rsidRDefault="003A6777" w:rsidP="003A6777">
            <w:pPr>
              <w:ind w:left="-371" w:right="424"/>
              <w:jc w:val="both"/>
            </w:pPr>
          </w:p>
          <w:p w14:paraId="6E926D5D" w14:textId="77777777" w:rsidR="00541C0F" w:rsidRPr="003A6777" w:rsidRDefault="00541C0F" w:rsidP="003A6777">
            <w:pPr>
              <w:pStyle w:val="Heading1"/>
              <w:ind w:left="-371" w:right="424"/>
              <w:rPr>
                <w:rFonts w:ascii="Book Antiqua" w:hAnsi="Book Antiqua"/>
                <w:color w:val="000000" w:themeColor="text1"/>
                <w:sz w:val="22"/>
                <w:szCs w:val="22"/>
              </w:rPr>
            </w:pPr>
            <w:r w:rsidRPr="003A6777">
              <w:rPr>
                <w:rFonts w:ascii="Book Antiqua" w:hAnsi="Book Antiqua"/>
                <w:color w:val="000000" w:themeColor="text1"/>
                <w:sz w:val="22"/>
                <w:szCs w:val="22"/>
              </w:rPr>
              <w:t>27. Shall faithfully execute the orders for buying and selling of securities at the best available price and not refuse to deal with a small investor merely on the ground of the volume of business involved.</w:t>
            </w:r>
          </w:p>
          <w:p w14:paraId="027A7150" w14:textId="77777777" w:rsidR="00541C0F" w:rsidRPr="003A6777" w:rsidRDefault="00541C0F" w:rsidP="003A6777">
            <w:pPr>
              <w:pStyle w:val="Heading1"/>
              <w:ind w:left="-371" w:right="424"/>
              <w:rPr>
                <w:rFonts w:ascii="Book Antiqua" w:hAnsi="Book Antiqua"/>
                <w:color w:val="000000" w:themeColor="text1"/>
                <w:sz w:val="22"/>
                <w:szCs w:val="22"/>
              </w:rPr>
            </w:pPr>
            <w:r w:rsidRPr="003A6777">
              <w:rPr>
                <w:rFonts w:ascii="Book Antiqua" w:hAnsi="Book Antiqua"/>
                <w:color w:val="000000" w:themeColor="text1"/>
                <w:sz w:val="22"/>
                <w:szCs w:val="22"/>
              </w:rPr>
              <w:t>28. Shall promptly inform its client about the execution or non-execution of an order and make prompt payment in respect of securities sold and arrange for prompt delivery of securities purchased by its clients.</w:t>
            </w:r>
          </w:p>
          <w:p w14:paraId="15EF5AB9" w14:textId="77777777" w:rsidR="00541C0F" w:rsidRPr="003A6777" w:rsidRDefault="00541C0F" w:rsidP="003A6777">
            <w:pPr>
              <w:pStyle w:val="Heading1"/>
              <w:ind w:left="-371" w:right="424"/>
              <w:rPr>
                <w:rFonts w:ascii="Book Antiqua" w:hAnsi="Book Antiqua"/>
                <w:color w:val="000000" w:themeColor="text1"/>
                <w:sz w:val="22"/>
                <w:szCs w:val="22"/>
              </w:rPr>
            </w:pPr>
            <w:r w:rsidRPr="003A6777">
              <w:rPr>
                <w:rFonts w:ascii="Book Antiqua" w:hAnsi="Book Antiqua"/>
                <w:color w:val="000000" w:themeColor="text1"/>
                <w:sz w:val="22"/>
                <w:szCs w:val="22"/>
              </w:rPr>
              <w:t xml:space="preserve">29. Shall issue without delay to its client a contract </w:t>
            </w:r>
            <w:proofErr w:type="gramStart"/>
            <w:r w:rsidRPr="003A6777">
              <w:rPr>
                <w:rFonts w:ascii="Book Antiqua" w:hAnsi="Book Antiqua"/>
                <w:color w:val="000000" w:themeColor="text1"/>
                <w:sz w:val="22"/>
                <w:szCs w:val="22"/>
              </w:rPr>
              <w:t>note</w:t>
            </w:r>
            <w:proofErr w:type="gramEnd"/>
            <w:r w:rsidRPr="003A6777">
              <w:rPr>
                <w:rFonts w:ascii="Book Antiqua" w:hAnsi="Book Antiqua"/>
                <w:color w:val="000000" w:themeColor="text1"/>
                <w:sz w:val="22"/>
                <w:szCs w:val="22"/>
              </w:rPr>
              <w:t xml:space="preserve"> for all transactions in the form specified by IIBX.</w:t>
            </w:r>
          </w:p>
          <w:p w14:paraId="21D0E026" w14:textId="1A782FB2" w:rsidR="00541C0F" w:rsidRPr="003A6777" w:rsidRDefault="00541C0F" w:rsidP="003A6777">
            <w:pPr>
              <w:pStyle w:val="Heading1"/>
              <w:ind w:left="-371" w:right="424"/>
              <w:rPr>
                <w:rFonts w:ascii="Book Antiqua" w:hAnsi="Book Antiqua"/>
                <w:color w:val="000000" w:themeColor="text1"/>
                <w:sz w:val="22"/>
                <w:szCs w:val="22"/>
              </w:rPr>
            </w:pPr>
            <w:r w:rsidRPr="003A6777">
              <w:rPr>
                <w:rFonts w:ascii="Book Antiqua" w:hAnsi="Book Antiqua"/>
                <w:color w:val="000000" w:themeColor="text1"/>
                <w:sz w:val="22"/>
                <w:szCs w:val="22"/>
              </w:rPr>
              <w:t>30. Shall not encourage sales or purchases of securities with the sole object of generating brokerage or commission.</w:t>
            </w:r>
          </w:p>
          <w:p w14:paraId="6D49FC87" w14:textId="3E32115D" w:rsidR="00541C0F" w:rsidRPr="003A6777" w:rsidRDefault="00541C0F" w:rsidP="003A6777">
            <w:pPr>
              <w:pStyle w:val="Heading1"/>
              <w:ind w:left="-371" w:right="424"/>
              <w:rPr>
                <w:rFonts w:ascii="Book Antiqua" w:hAnsi="Book Antiqua"/>
                <w:color w:val="000000" w:themeColor="text1"/>
                <w:sz w:val="22"/>
                <w:szCs w:val="22"/>
              </w:rPr>
            </w:pPr>
            <w:r w:rsidRPr="003A6777">
              <w:rPr>
                <w:rFonts w:ascii="Book Antiqua" w:hAnsi="Book Antiqua"/>
                <w:color w:val="000000" w:themeColor="text1"/>
                <w:sz w:val="22"/>
                <w:szCs w:val="22"/>
              </w:rPr>
              <w:t>31. Shall not furnish false or misleading quotations or give any other false or misleading advice or information to the clients with a view of inducing them to do business in particular securities and enabling itself to earn brokerage or commission thereby.</w:t>
            </w:r>
          </w:p>
          <w:p w14:paraId="4A69AF58" w14:textId="77777777" w:rsidR="00541C0F" w:rsidRPr="003A6777" w:rsidRDefault="00541C0F" w:rsidP="003A6777">
            <w:pPr>
              <w:pStyle w:val="Heading1"/>
              <w:ind w:left="-371" w:right="424"/>
              <w:rPr>
                <w:rFonts w:ascii="Book Antiqua" w:hAnsi="Book Antiqua"/>
                <w:color w:val="000000" w:themeColor="text1"/>
                <w:sz w:val="22"/>
                <w:szCs w:val="22"/>
              </w:rPr>
            </w:pPr>
            <w:r w:rsidRPr="003A6777">
              <w:rPr>
                <w:rFonts w:ascii="Book Antiqua" w:hAnsi="Book Antiqua"/>
                <w:color w:val="000000" w:themeColor="text1"/>
                <w:sz w:val="22"/>
                <w:szCs w:val="22"/>
              </w:rPr>
              <w:t>32. Shall not deal or transact business knowingly, directly, or indirectly or execute an order for a client who has failed to carry out its commitments in relation to securities with another broker dealer.</w:t>
            </w:r>
          </w:p>
          <w:p w14:paraId="61DFDF96" w14:textId="28BA06A9" w:rsidR="0077004F" w:rsidRPr="003A6777" w:rsidRDefault="0077004F" w:rsidP="003A6777">
            <w:pPr>
              <w:pStyle w:val="Heading1"/>
              <w:ind w:left="-371" w:right="424"/>
              <w:rPr>
                <w:rFonts w:ascii="Book Antiqua" w:hAnsi="Book Antiqua"/>
                <w:color w:val="000000" w:themeColor="text1"/>
                <w:sz w:val="22"/>
                <w:szCs w:val="22"/>
              </w:rPr>
            </w:pPr>
            <w:r w:rsidRPr="003A6777">
              <w:rPr>
                <w:rFonts w:ascii="Book Antiqua" w:hAnsi="Book Antiqua"/>
                <w:color w:val="000000" w:themeColor="text1"/>
                <w:sz w:val="22"/>
                <w:szCs w:val="22"/>
              </w:rPr>
              <w:t>33. Shall not advertise its business publicly unless permitted by IIBX.</w:t>
            </w:r>
          </w:p>
          <w:p w14:paraId="64916B69" w14:textId="77777777" w:rsidR="0077004F" w:rsidRPr="003A6777" w:rsidRDefault="0077004F" w:rsidP="003A6777">
            <w:pPr>
              <w:pStyle w:val="Heading1"/>
              <w:ind w:left="-371" w:right="424"/>
              <w:rPr>
                <w:rFonts w:ascii="Book Antiqua" w:hAnsi="Book Antiqua"/>
                <w:color w:val="000000" w:themeColor="text1"/>
                <w:sz w:val="22"/>
                <w:szCs w:val="22"/>
              </w:rPr>
            </w:pPr>
            <w:r w:rsidRPr="003A6777">
              <w:rPr>
                <w:rFonts w:ascii="Book Antiqua" w:hAnsi="Book Antiqua"/>
                <w:color w:val="000000" w:themeColor="text1"/>
                <w:sz w:val="22"/>
                <w:szCs w:val="22"/>
              </w:rPr>
              <w:t xml:space="preserve">34. Shall not resort to unfair means of inducing clients from </w:t>
            </w:r>
            <w:proofErr w:type="gramStart"/>
            <w:r w:rsidRPr="003A6777">
              <w:rPr>
                <w:rFonts w:ascii="Book Antiqua" w:hAnsi="Book Antiqua"/>
                <w:color w:val="000000" w:themeColor="text1"/>
                <w:sz w:val="22"/>
                <w:szCs w:val="22"/>
              </w:rPr>
              <w:t>other</w:t>
            </w:r>
            <w:proofErr w:type="gramEnd"/>
            <w:r w:rsidRPr="003A6777">
              <w:rPr>
                <w:rFonts w:ascii="Book Antiqua" w:hAnsi="Book Antiqua"/>
                <w:color w:val="000000" w:themeColor="text1"/>
                <w:sz w:val="22"/>
                <w:szCs w:val="22"/>
              </w:rPr>
              <w:t xml:space="preserve"> broker dealer.</w:t>
            </w:r>
          </w:p>
          <w:p w14:paraId="39D286E4" w14:textId="77777777" w:rsidR="0077004F" w:rsidRPr="003A6777" w:rsidRDefault="0077004F" w:rsidP="003A6777">
            <w:pPr>
              <w:pStyle w:val="Heading1"/>
              <w:ind w:left="-371" w:right="424"/>
              <w:rPr>
                <w:rFonts w:ascii="Book Antiqua" w:hAnsi="Book Antiqua"/>
                <w:color w:val="000000" w:themeColor="text1"/>
                <w:sz w:val="22"/>
                <w:szCs w:val="22"/>
              </w:rPr>
            </w:pPr>
            <w:r w:rsidRPr="003A6777">
              <w:rPr>
                <w:rFonts w:ascii="Book Antiqua" w:hAnsi="Book Antiqua"/>
                <w:color w:val="000000" w:themeColor="text1"/>
                <w:sz w:val="22"/>
                <w:szCs w:val="22"/>
              </w:rPr>
              <w:t xml:space="preserve">35. Shall not </w:t>
            </w:r>
            <w:proofErr w:type="gramStart"/>
            <w:r w:rsidRPr="003A6777">
              <w:rPr>
                <w:rFonts w:ascii="Book Antiqua" w:hAnsi="Book Antiqua"/>
                <w:color w:val="000000" w:themeColor="text1"/>
                <w:sz w:val="22"/>
                <w:szCs w:val="22"/>
              </w:rPr>
              <w:t>enter into</w:t>
            </w:r>
            <w:proofErr w:type="gramEnd"/>
            <w:r w:rsidRPr="003A6777">
              <w:rPr>
                <w:rFonts w:ascii="Book Antiqua" w:hAnsi="Book Antiqua"/>
                <w:color w:val="000000" w:themeColor="text1"/>
                <w:sz w:val="22"/>
                <w:szCs w:val="22"/>
              </w:rPr>
              <w:t xml:space="preserve"> any financial transactions with Sanctioned entities and / or individuals.</w:t>
            </w:r>
          </w:p>
          <w:p w14:paraId="55A7FAD7" w14:textId="77777777" w:rsidR="003A6777" w:rsidRDefault="0077004F" w:rsidP="003A6777">
            <w:pPr>
              <w:pStyle w:val="Heading1"/>
              <w:rPr>
                <w:rFonts w:ascii="Book Antiqua" w:hAnsi="Book Antiqua"/>
                <w:color w:val="000000" w:themeColor="text1"/>
                <w:sz w:val="22"/>
                <w:szCs w:val="22"/>
              </w:rPr>
            </w:pPr>
            <w:r w:rsidRPr="003A6777">
              <w:rPr>
                <w:rFonts w:ascii="Book Antiqua" w:hAnsi="Book Antiqua"/>
                <w:color w:val="000000" w:themeColor="text1"/>
                <w:sz w:val="22"/>
                <w:szCs w:val="22"/>
              </w:rPr>
              <w:t xml:space="preserve">                                                         </w:t>
            </w:r>
          </w:p>
          <w:p w14:paraId="746C1984" w14:textId="77777777" w:rsidR="003A6777" w:rsidRDefault="003A6777" w:rsidP="003A6777">
            <w:pPr>
              <w:pStyle w:val="Heading1"/>
              <w:rPr>
                <w:rFonts w:ascii="Book Antiqua" w:hAnsi="Book Antiqua"/>
                <w:color w:val="000000" w:themeColor="text1"/>
                <w:sz w:val="22"/>
                <w:szCs w:val="22"/>
              </w:rPr>
            </w:pPr>
          </w:p>
          <w:p w14:paraId="30736B20" w14:textId="77777777" w:rsidR="003A6777" w:rsidRDefault="003A6777" w:rsidP="003A6777">
            <w:pPr>
              <w:pStyle w:val="Heading1"/>
              <w:rPr>
                <w:rFonts w:ascii="Book Antiqua" w:hAnsi="Book Antiqua"/>
                <w:color w:val="000000" w:themeColor="text1"/>
                <w:sz w:val="22"/>
                <w:szCs w:val="22"/>
              </w:rPr>
            </w:pPr>
          </w:p>
          <w:p w14:paraId="249DDB2A" w14:textId="77777777" w:rsidR="003A6777" w:rsidRDefault="003A6777" w:rsidP="003A6777">
            <w:pPr>
              <w:pStyle w:val="Heading1"/>
              <w:rPr>
                <w:rFonts w:ascii="Book Antiqua" w:hAnsi="Book Antiqua"/>
                <w:color w:val="000000" w:themeColor="text1"/>
                <w:sz w:val="22"/>
                <w:szCs w:val="22"/>
              </w:rPr>
            </w:pPr>
          </w:p>
          <w:p w14:paraId="738E2984" w14:textId="77777777" w:rsidR="003A6777" w:rsidRDefault="003A6777" w:rsidP="003A6777">
            <w:pPr>
              <w:pStyle w:val="Heading1"/>
              <w:rPr>
                <w:rFonts w:ascii="Book Antiqua" w:hAnsi="Book Antiqua"/>
                <w:color w:val="000000" w:themeColor="text1"/>
                <w:sz w:val="22"/>
                <w:szCs w:val="22"/>
              </w:rPr>
            </w:pPr>
          </w:p>
          <w:p w14:paraId="18807570" w14:textId="77777777" w:rsidR="003A6777" w:rsidRDefault="003A6777" w:rsidP="003A6777">
            <w:pPr>
              <w:pStyle w:val="Heading1"/>
              <w:rPr>
                <w:rFonts w:ascii="Book Antiqua" w:hAnsi="Book Antiqua"/>
                <w:color w:val="000000" w:themeColor="text1"/>
                <w:sz w:val="22"/>
                <w:szCs w:val="22"/>
              </w:rPr>
            </w:pPr>
          </w:p>
          <w:p w14:paraId="34F7D437" w14:textId="77777777" w:rsidR="003A6777" w:rsidRDefault="003A6777" w:rsidP="003A6777">
            <w:pPr>
              <w:pStyle w:val="Heading1"/>
              <w:rPr>
                <w:rFonts w:ascii="Book Antiqua" w:hAnsi="Book Antiqua"/>
                <w:color w:val="000000" w:themeColor="text1"/>
                <w:sz w:val="22"/>
                <w:szCs w:val="22"/>
              </w:rPr>
            </w:pPr>
          </w:p>
          <w:p w14:paraId="62CD9A65" w14:textId="67763D89" w:rsidR="0077004F" w:rsidRPr="003A6777" w:rsidRDefault="0077004F" w:rsidP="003A6777">
            <w:pPr>
              <w:pStyle w:val="Heading1"/>
              <w:rPr>
                <w:rFonts w:ascii="Book Antiqua" w:hAnsi="Book Antiqua"/>
                <w:color w:val="000000" w:themeColor="text1"/>
                <w:sz w:val="22"/>
                <w:szCs w:val="22"/>
              </w:rPr>
            </w:pPr>
            <w:r w:rsidRPr="003A6777">
              <w:rPr>
                <w:rFonts w:ascii="Book Antiqua" w:hAnsi="Book Antiqua"/>
                <w:color w:val="000000" w:themeColor="text1"/>
                <w:sz w:val="22"/>
                <w:szCs w:val="22"/>
              </w:rPr>
              <w:t xml:space="preserve">                                                 </w:t>
            </w:r>
          </w:p>
          <w:p w14:paraId="5077EA02" w14:textId="77777777" w:rsidR="00541C0F" w:rsidRPr="003A6777" w:rsidRDefault="00541C0F" w:rsidP="003A6777">
            <w:pPr>
              <w:pStyle w:val="Heading1"/>
              <w:rPr>
                <w:rFonts w:ascii="Book Antiqua" w:hAnsi="Book Antiqua"/>
                <w:color w:val="000000" w:themeColor="text1"/>
                <w:sz w:val="22"/>
                <w:szCs w:val="22"/>
              </w:rPr>
            </w:pPr>
          </w:p>
          <w:p w14:paraId="4678141C" w14:textId="090DDDCD" w:rsidR="00541C0F" w:rsidRPr="003A6777" w:rsidRDefault="00541C0F" w:rsidP="003A6777">
            <w:pPr>
              <w:pStyle w:val="Heading1"/>
              <w:jc w:val="right"/>
              <w:rPr>
                <w:rFonts w:ascii="Book Antiqua" w:hAnsi="Book Antiqua"/>
                <w:color w:val="000000" w:themeColor="text1"/>
                <w:sz w:val="22"/>
                <w:szCs w:val="22"/>
              </w:rPr>
            </w:pPr>
          </w:p>
          <w:p w14:paraId="0A499040" w14:textId="7402B1A6" w:rsidR="00541C0F" w:rsidRPr="00866671" w:rsidRDefault="003A6777" w:rsidP="003A6777">
            <w:pPr>
              <w:pStyle w:val="Heading1"/>
              <w:jc w:val="right"/>
              <w:rPr>
                <w:rFonts w:ascii="Book Antiqua" w:hAnsi="Book Antiqua"/>
              </w:rPr>
            </w:pPr>
            <w:r w:rsidRPr="00866671">
              <w:rPr>
                <w:rFonts w:ascii="Book Antiqua" w:hAnsi="Book Antiqua"/>
                <w:noProof/>
              </w:rPr>
              <w:drawing>
                <wp:inline distT="0" distB="0" distL="0" distR="0" wp14:anchorId="266625A4" wp14:editId="37BED3A1">
                  <wp:extent cx="1057275" cy="371475"/>
                  <wp:effectExtent l="0" t="0" r="0" b="0"/>
                  <wp:docPr id="2090812152" name="Picture 2090812152"/>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5"/>
                          <a:stretch>
                            <a:fillRect/>
                          </a:stretch>
                        </pic:blipFill>
                        <pic:spPr>
                          <a:xfrm>
                            <a:off x="0" y="0"/>
                            <a:ext cx="1057275" cy="371475"/>
                          </a:xfrm>
                          <a:prstGeom prst="rect">
                            <a:avLst/>
                          </a:prstGeom>
                        </pic:spPr>
                      </pic:pic>
                    </a:graphicData>
                  </a:graphic>
                </wp:inline>
              </w:drawing>
            </w:r>
          </w:p>
        </w:tc>
      </w:tr>
    </w:tbl>
    <w:p w14:paraId="2B007020" w14:textId="77777777" w:rsidR="00C53D1E" w:rsidRPr="00866671" w:rsidRDefault="00C53D1E" w:rsidP="003A6777">
      <w:pPr>
        <w:rPr>
          <w:rFonts w:ascii="Book Antiqua" w:hAnsi="Book Antiqua"/>
        </w:rPr>
      </w:pPr>
    </w:p>
    <w:sectPr w:rsidR="00C53D1E" w:rsidRPr="00866671" w:rsidSect="00995BE3">
      <w:pgSz w:w="11909" w:h="16834"/>
      <w:pgMar w:top="1135" w:right="1440" w:bottom="141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923D01"/>
    <w:multiLevelType w:val="hybridMultilevel"/>
    <w:tmpl w:val="446EA3EA"/>
    <w:lvl w:ilvl="0" w:tplc="E7D8D81E">
      <w:start w:val="13"/>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B344E3AC">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E720337C">
      <w:start w:val="1"/>
      <w:numFmt w:val="lowerRoman"/>
      <w:lvlText w:val="%3"/>
      <w:lvlJc w:val="left"/>
      <w:pPr>
        <w:ind w:left="24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75651B6">
      <w:start w:val="1"/>
      <w:numFmt w:val="decimal"/>
      <w:lvlText w:val="%4"/>
      <w:lvlJc w:val="left"/>
      <w:pPr>
        <w:ind w:left="31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D72BF28">
      <w:start w:val="1"/>
      <w:numFmt w:val="lowerLetter"/>
      <w:lvlText w:val="%5"/>
      <w:lvlJc w:val="left"/>
      <w:pPr>
        <w:ind w:left="387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C36BAA0">
      <w:start w:val="1"/>
      <w:numFmt w:val="lowerRoman"/>
      <w:lvlText w:val="%6"/>
      <w:lvlJc w:val="left"/>
      <w:pPr>
        <w:ind w:left="459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63CFCC8">
      <w:start w:val="1"/>
      <w:numFmt w:val="decimal"/>
      <w:lvlText w:val="%7"/>
      <w:lvlJc w:val="left"/>
      <w:pPr>
        <w:ind w:left="531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5044A08">
      <w:start w:val="1"/>
      <w:numFmt w:val="lowerLetter"/>
      <w:lvlText w:val="%8"/>
      <w:lvlJc w:val="left"/>
      <w:pPr>
        <w:ind w:left="603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88EC7BA">
      <w:start w:val="1"/>
      <w:numFmt w:val="lowerRoman"/>
      <w:lvlText w:val="%9"/>
      <w:lvlJc w:val="left"/>
      <w:pPr>
        <w:ind w:left="675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57FD4917"/>
    <w:multiLevelType w:val="hybridMultilevel"/>
    <w:tmpl w:val="614C100E"/>
    <w:lvl w:ilvl="0" w:tplc="5BF40AB2">
      <w:start w:val="1"/>
      <w:numFmt w:val="decimal"/>
      <w:lvlText w:val="%1."/>
      <w:lvlJc w:val="left"/>
      <w:pPr>
        <w:ind w:left="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B8218D4">
      <w:start w:val="1"/>
      <w:numFmt w:val="lowerLetter"/>
      <w:lvlText w:val="%2"/>
      <w:lvlJc w:val="left"/>
      <w:pPr>
        <w:ind w:left="21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80C048">
      <w:start w:val="1"/>
      <w:numFmt w:val="lowerRoman"/>
      <w:lvlText w:val="%3"/>
      <w:lvlJc w:val="left"/>
      <w:pPr>
        <w:ind w:left="28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4D0F510">
      <w:start w:val="1"/>
      <w:numFmt w:val="decimal"/>
      <w:lvlText w:val="%4"/>
      <w:lvlJc w:val="left"/>
      <w:pPr>
        <w:ind w:left="35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10529AC8">
      <w:start w:val="1"/>
      <w:numFmt w:val="lowerLetter"/>
      <w:lvlText w:val="%5"/>
      <w:lvlJc w:val="left"/>
      <w:pPr>
        <w:ind w:left="43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C2E3496">
      <w:start w:val="1"/>
      <w:numFmt w:val="lowerRoman"/>
      <w:lvlText w:val="%6"/>
      <w:lvlJc w:val="left"/>
      <w:pPr>
        <w:ind w:left="50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B43E4122">
      <w:start w:val="1"/>
      <w:numFmt w:val="decimal"/>
      <w:lvlText w:val="%7"/>
      <w:lvlJc w:val="left"/>
      <w:pPr>
        <w:ind w:left="57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07A3EF0">
      <w:start w:val="1"/>
      <w:numFmt w:val="lowerLetter"/>
      <w:lvlText w:val="%8"/>
      <w:lvlJc w:val="left"/>
      <w:pPr>
        <w:ind w:left="64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D6E3A14">
      <w:start w:val="1"/>
      <w:numFmt w:val="lowerRoman"/>
      <w:lvlText w:val="%9"/>
      <w:lvlJc w:val="left"/>
      <w:pPr>
        <w:ind w:left="71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399138684">
    <w:abstractNumId w:val="1"/>
  </w:num>
  <w:num w:numId="2" w16cid:durableId="20718015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F6"/>
    <w:rsid w:val="002B3BF6"/>
    <w:rsid w:val="003A6777"/>
    <w:rsid w:val="00541C0F"/>
    <w:rsid w:val="0077004F"/>
    <w:rsid w:val="00866671"/>
    <w:rsid w:val="00995BE3"/>
    <w:rsid w:val="00C53D1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B53CD"/>
  <w15:docId w15:val="{3B323BD0-24A0-424E-A734-4FCEA925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N" w:eastAsia="en-I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basedOn w:val="Normal"/>
    <w:next w:val="Normal"/>
    <w:link w:val="Heading1Char"/>
    <w:uiPriority w:val="9"/>
    <w:qFormat/>
    <w:rsid w:val="008666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Heading1Char">
    <w:name w:val="Heading 1 Char"/>
    <w:basedOn w:val="DefaultParagraphFont"/>
    <w:link w:val="Heading1"/>
    <w:uiPriority w:val="9"/>
    <w:rsid w:val="0086667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1001</Words>
  <Characters>5707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DRAFT HANDBOOK</vt:lpstr>
    </vt:vector>
  </TitlesOfParts>
  <Company/>
  <LinksUpToDate>false</LinksUpToDate>
  <CharactersWithSpaces>6695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HANDBOOK</dc:title>
  <dc:subject/>
  <dc:creator>Admin</dc:creator>
  <cp:keywords/>
  <cp:lastModifiedBy>Puneet Kanwar</cp:lastModifiedBy>
  <cp:revision>5</cp:revision>
  <cp:lastPrinted>2023-10-11T05:25:00Z</cp:lastPrinted>
  <dcterms:created xsi:type="dcterms:W3CDTF">2023-10-10T07:15:00Z</dcterms:created>
  <dcterms:modified xsi:type="dcterms:W3CDTF">2023-10-11T05:26:00Z</dcterms:modified>
</cp:coreProperties>
</file>